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Ascent to Serenity Support</w:t>
      </w:r>
    </w:p>
    <w:p>
      <w:pPr>
        <w:pStyle w:val="Heading1"/>
      </w:pPr>
      <w:r>
        <w:t>Statement of Expectations Contract</w:t>
      </w:r>
    </w:p>
    <w:p>
      <w:pPr>
        <w:pStyle w:val="Heading2"/>
      </w:pPr>
      <w:r>
        <w:t>Purpose of Sessions</w:t>
      </w:r>
    </w:p>
    <w:p>
      <w:r>
        <w:t>Sessions are designed to provide emotional support, reflection, and guidance in a safe and supportive environment.</w:t>
      </w:r>
    </w:p>
    <w:p>
      <w:pPr>
        <w:pStyle w:val="Heading2"/>
      </w:pPr>
      <w:r>
        <w:t>Client Responsibilities</w:t>
      </w:r>
    </w:p>
    <w:p>
      <w:r>
        <w:t>Clients are expected to engage honestly, attend sessions on time, and communicate openly within appropriate boundaries.</w:t>
      </w:r>
    </w:p>
    <w:p>
      <w:pPr>
        <w:pStyle w:val="Heading2"/>
      </w:pPr>
      <w:r>
        <w:t>Confidentiality Limits</w:t>
      </w:r>
    </w:p>
    <w:p>
      <w:r>
        <w:t>Confidentiality may be broken if there is risk of harm, safeguarding concerns, or legal obligations.</w:t>
      </w:r>
    </w:p>
    <w:p>
      <w:pPr>
        <w:pStyle w:val="Heading2"/>
      </w:pPr>
      <w:r>
        <w:t>Session Structure</w:t>
      </w:r>
    </w:p>
    <w:p>
      <w:r>
        <w:t>A commitment of 4 sessions is recommended, with a maximum of 12 sessions to maintain appropriate service boundaries.</w:t>
      </w:r>
    </w:p>
    <w:p>
      <w:pPr>
        <w:pStyle w:val="Heading2"/>
      </w:pPr>
      <w:r>
        <w:t>Scope of Service</w:t>
      </w:r>
    </w:p>
    <w:p>
      <w:r>
        <w:t>If client needs exceed the scope of this service, appropriate signposting to relevant professionals or services will be provided.</w:t>
      </w:r>
    </w:p>
    <w:p>
      <w:pPr>
        <w:pStyle w:val="Heading2"/>
      </w:pPr>
      <w:r>
        <w:t>Professional Boundaries</w:t>
      </w:r>
    </w:p>
    <w:p>
      <w:r>
        <w:t>The practitioner will not engage in dual relationships or provide support outside agreed sessions except for administrative communication.</w:t>
      </w:r>
    </w:p>
    <w:p>
      <w:pPr>
        <w:pStyle w:val="Heading2"/>
      </w:pPr>
      <w:r>
        <w:t>Data Handling</w:t>
      </w:r>
    </w:p>
    <w:p>
      <w:r>
        <w:t>All personal data is handled in accordance with UK GDPR and retained for a defined period before secure deletion.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